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C368E1" w:rsidP="00FD77B5">
      <w:pPr>
        <w:spacing w:afterLines="0" w:after="0"/>
        <w:jc w:val="center"/>
        <w:rPr>
          <w:rFonts w:cs="Times New Roman"/>
          <w:color w:val="000099"/>
          <w:sz w:val="52"/>
          <w:szCs w:val="52"/>
        </w:rPr>
      </w:pPr>
      <w:r>
        <w:rPr>
          <w:rFonts w:cs="Times New Roman"/>
          <w:color w:val="000099"/>
          <w:sz w:val="52"/>
          <w:szCs w:val="52"/>
        </w:rPr>
        <w:t>Jones adv. Poopy Von Trap</w:t>
      </w:r>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r>
        <w:rPr>
          <w:rFonts w:cs="Times New Roman"/>
          <w:color w:val="000099"/>
          <w:sz w:val="28"/>
          <w:szCs w:val="28"/>
        </w:rPr>
        <w:t>Z1294</w:t>
      </w: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C368E1" w:rsidP="00D66223">
      <w:pPr>
        <w:spacing w:afterLines="0" w:after="0"/>
        <w:jc w:val="center"/>
        <w:rPr>
          <w:rFonts w:cs="Times New Roman"/>
          <w:bCs/>
          <w:color w:val="000099"/>
          <w:sz w:val="28"/>
          <w:szCs w:val="28"/>
        </w:rPr>
      </w:pPr>
      <w:r>
        <w:rPr>
          <w:rFonts w:cs="Times New Roman"/>
          <w:bCs/>
          <w:color w:val="000099"/>
          <w:sz w:val="28"/>
          <w:szCs w:val="28"/>
        </w:rPr>
        <w:t>JB</w:t>
      </w:r>
    </w:p>
    <w:p w14:paraId="56F0E1E5" w14:textId="1809067D"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D86F54">
        <w:rPr>
          <w:rFonts w:cs="Times New Roman"/>
          <w:bCs/>
          <w:noProof/>
          <w:color w:val="000099"/>
          <w:sz w:val="26"/>
          <w:szCs w:val="26"/>
        </w:rPr>
        <w:t>September 20,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C368E1">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C368E1">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C368E1">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C368E1">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C368E1">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C368E1">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C368E1">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C368E1">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C368E1">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C368E1">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C368E1">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C368E1">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C368E1">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C368E1">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C368E1">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C368E1">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C368E1">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C368E1">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C368E1">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C368E1">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C368E1">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C368E1">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C368E1">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C368E1">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C368E1">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C368E1">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C368E1">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C368E1">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C368E1">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C368E1">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C368E1">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C368E1">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C368E1">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C368E1">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C368E1">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C368E1">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C368E1">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C368E1">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C368E1">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C368E1">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C368E1">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C368E1">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C368E1">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C368E1">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C368E1">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C368E1">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C368E1">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C368E1">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C368E1">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C368E1">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C368E1">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C368E1">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C368E1">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C368E1">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C368E1">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C368E1">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C368E1">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C368E1">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C368E1">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C368E1">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C368E1">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C368E1">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C368E1">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C368E1">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C368E1">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C368E1">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C368E1">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C368E1">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C368E1">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C368E1">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C368E1">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C368E1">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C368E1">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C368E1">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C368E1">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C368E1">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C368E1">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C368E1">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C368E1">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C368E1">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C368E1">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C368E1">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C368E1">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C368E1">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C368E1">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C368E1">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C368E1">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C368E1">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C368E1">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C368E1">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C368E1">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C368E1">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C368E1">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C368E1">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C368E1">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C368E1">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C368E1">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C368E1">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C368E1">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C368E1">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C368E1">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C368E1">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C368E1">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C368E1">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C368E1">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C368E1">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C368E1">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C368E1" w:rsidP="00FB173A">
      <w:pPr>
        <w:pStyle w:val="NormalEnd"/>
      </w:pPr>
      <w:r>
        <w:t>Eget felis eget nunc lobortis. A iaculis at erat pellentesque adipiscing commodo elit. Nisl suscipit adipiscing bibendum est ultricies integer quis. Consectetur purus ut faucibus pulvinar. Velit egestas dui id ornare arcu odio. Tellus in hac habitasse platea. Pharetra diam sit amet nisl suscipit adipiscing. Velit aliquet sagittis id consectetur purus. Aliquam purus sit amet luctus. Ac feugiat sed lectus vestibulum. Nibh sed pulvinar proin gravida hendrerit lectus</w:t>
      </w:r>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C368E1" w:rsidP="00B83DD4">
            <w:pPr>
              <w:spacing w:afterLines="0" w:after="0"/>
              <w:rPr>
                <w:rFonts w:ascii="Times New Roman" w:hAnsi="Times New Roman" w:cs="Times New Roman"/>
                <w:sz w:val="20"/>
                <w:szCs w:val="20"/>
              </w:rPr>
            </w:pPr>
            <w:r>
              <w:rPr>
                <w:rFonts w:cs="Times New Roman"/>
                <w:sz w:val="20"/>
                <w:szCs w:val="20"/>
              </w:rPr>
              <w:t>Mack Jones</w:t>
            </w:r>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C368E1" w:rsidP="00B83DD4">
            <w:pPr>
              <w:spacing w:afterLines="0" w:after="0"/>
              <w:rPr>
                <w:rFonts w:ascii="Times New Roman" w:hAnsi="Times New Roman" w:cs="Times New Roman"/>
                <w:sz w:val="20"/>
                <w:szCs w:val="20"/>
              </w:rPr>
            </w:pPr>
            <w:r>
              <w:rPr>
                <w:rFonts w:cs="Times New Roman"/>
                <w:sz w:val="20"/>
                <w:szCs w:val="20"/>
              </w:rPr>
              <w:t>Poopy Von Crapp, Inc.</w:t>
            </w:r>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C368E1" w:rsidP="00B83DD4">
            <w:pPr>
              <w:spacing w:afterLines="0" w:after="0"/>
              <w:rPr>
                <w:rFonts w:ascii="Times New Roman" w:hAnsi="Times New Roman" w:cs="Times New Roman"/>
                <w:sz w:val="20"/>
                <w:szCs w:val="20"/>
              </w:rPr>
            </w:pPr>
            <w:r>
              <w:rPr>
                <w:rFonts w:cs="Times New Roman"/>
                <w:sz w:val="20"/>
                <w:szCs w:val="20"/>
              </w:rPr>
              <w:t>Infringing entity</w:t>
            </w:r>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bookmarkStart w:id="13" w:name="_Hlk41895314"/>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1E0030AD" w:rsidR="00ED6719" w:rsidRPr="00797709" w:rsidRDefault="00C368E1" w:rsidP="00797709">
      <w:pPr>
        <w:pStyle w:val="Heading1"/>
        <w:spacing w:after="264"/>
        <w:rPr>
          <w:bCs/>
        </w:rPr>
      </w:pPr>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bookmarkEnd w:id="19"/>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693DF110" w:rsidR="00FE3AC7" w:rsidRDefault="00370C66" w:rsidP="00370C66">
      <w:pPr>
        <w:spacing w:after="264"/>
        <w:ind w:left="720"/>
      </w:pPr>
      <w:r w:rsidRPr="007C381F">
        <w:rPr>
          <w:rFonts w:cs="Times New Roman"/>
          <w:bCs/>
          <w:szCs w:val="24"/>
          <w:highlight w:val="yellow"/>
        </w:rPr>
        <w:t xml:space="preserve">—  </w:t>
      </w:r>
      <w:r>
        <w:rPr>
          <w:highlight w:val="yellow"/>
        </w:rPr>
        <w:t>(i) Breach of Contract; (ii) Negligence; (iii) Declaratory Relief; (iv) Implied Covenant; and/or (v) Trespass</w:t>
      </w:r>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w:t>
      </w:r>
      <w:r w:rsidR="003624C3">
        <w:rPr>
          <w:rFonts w:cs="Times New Roman"/>
          <w:bCs/>
          <w:szCs w:val="24"/>
        </w:rPr>
        <w:lastRenderedPageBreak/>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8D8E6F2" w14:textId="26CF1970" w:rsidR="002C3B40" w:rsidRDefault="002C3B40" w:rsidP="002C3B40">
      <w:pPr>
        <w:pStyle w:val="NormalEnd"/>
      </w:pPr>
      <w:bookmarkStart w:id="148" w:name="_Hlk43361346"/>
      <w:r>
        <w:lastRenderedPageBreak/>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r>
        <w:rPr>
          <w:rFonts w:cs="Times New Roman"/>
          <w:b/>
          <w:bCs/>
          <w:color w:val="C00000"/>
          <w:szCs w:val="24"/>
          <w:u w:val="single"/>
        </w:rPr>
        <w:t>July 15, 2024</w:t>
      </w:r>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251B57D6" w14:textId="39CACFFD" w:rsidR="00745226" w:rsidRDefault="007854F7" w:rsidP="00EA2883">
      <w:pPr>
        <w:pStyle w:val="Heading2"/>
      </w:pPr>
      <w:r w:rsidRPr="00020852">
        <w:lastRenderedPageBreak/>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2D16B088"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r>
        <w:rPr>
          <w:rFonts w:cs="Times New Roman"/>
          <w:szCs w:val="24"/>
        </w:rPr>
        <w:t>Orange</w:t>
      </w:r>
      <w:r>
        <w:rPr>
          <w:rFonts w:cs="Times New Roman"/>
          <w:bCs/>
          <w:szCs w:val="24"/>
        </w:rPr>
        <w:t xml:space="preserve"> County may exercise personal jurisdiction over the parties. </w:t>
      </w:r>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bookmarkStart w:id="163" w:name="_Hlk43294992"/>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bookmarkStart w:id="165" w:name="_Hlk43295175"/>
    <w:bookmarkStart w:id="166" w:name="_Hlk43295231"/>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bookmarkStart w:id="167" w:name="_Hlk43295292"/>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r>
        <w:rPr>
          <w:rFonts w:cs="Times New Roman"/>
          <w:szCs w:val="24"/>
        </w:rPr>
        <w:t>Section 12.5.4</w:t>
      </w:r>
      <w:r w:rsidRPr="00D87E71">
        <w:t xml:space="preserve"> of the </w:t>
      </w:r>
      <w:bookmarkStart w:id="189" w:name="_Hlk44316048"/>
      <w:r>
        <w:rPr>
          <w:rFonts w:cs="Times New Roman"/>
          <w:szCs w:val="24"/>
        </w:rPr>
        <w:t>Consulting Agreement</w:t>
      </w:r>
      <w:bookmarkEnd w:id="189"/>
      <w:r w:rsidRPr="00D87E71">
        <w:t xml:space="preserve">. </w:t>
      </w:r>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C368E1" w:rsidP="00CF0FC9">
      <w:pPr>
        <w:spacing w:after="264"/>
      </w:pPr>
      <w:r>
        <w:rPr>
          <w:color w:val="000000" w:themeColor="text1"/>
        </w:rPr>
        <w:t>None at this time.</w:t>
      </w:r>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6DA9" w14:textId="77777777" w:rsidR="006944AD" w:rsidRDefault="006944AD" w:rsidP="007B1C23">
      <w:pPr>
        <w:spacing w:after="264"/>
      </w:pPr>
      <w:r>
        <w:separator/>
      </w:r>
    </w:p>
    <w:p w14:paraId="55DDB9F2" w14:textId="77777777" w:rsidR="006944AD" w:rsidRDefault="006944AD">
      <w:pPr>
        <w:spacing w:after="264"/>
      </w:pPr>
    </w:p>
  </w:endnote>
  <w:endnote w:type="continuationSeparator" w:id="0">
    <w:p w14:paraId="69F7A7EA" w14:textId="77777777" w:rsidR="006944AD" w:rsidRDefault="006944AD" w:rsidP="007B1C23">
      <w:pPr>
        <w:spacing w:after="264"/>
      </w:pPr>
      <w:r>
        <w:continuationSeparator/>
      </w:r>
    </w:p>
    <w:p w14:paraId="5CF19984" w14:textId="77777777" w:rsidR="006944AD" w:rsidRDefault="006944AD">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C368E1"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Jones adv. Poopy Von Trap</w:t>
          </w:r>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0AA6" w14:textId="77777777" w:rsidR="006944AD" w:rsidRDefault="006944AD" w:rsidP="007B1C23">
      <w:pPr>
        <w:spacing w:after="264"/>
      </w:pPr>
      <w:r>
        <w:separator/>
      </w:r>
    </w:p>
    <w:p w14:paraId="266A820F" w14:textId="77777777" w:rsidR="006944AD" w:rsidRDefault="006944AD">
      <w:pPr>
        <w:spacing w:after="264"/>
      </w:pPr>
    </w:p>
  </w:footnote>
  <w:footnote w:type="continuationSeparator" w:id="0">
    <w:p w14:paraId="75268399" w14:textId="77777777" w:rsidR="006944AD" w:rsidRDefault="006944AD" w:rsidP="007B1C23">
      <w:pPr>
        <w:spacing w:after="264"/>
      </w:pPr>
      <w:r>
        <w:continuationSeparator/>
      </w:r>
    </w:p>
    <w:p w14:paraId="619376EC" w14:textId="77777777" w:rsidR="006944AD" w:rsidRDefault="006944AD">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E8D"/>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7824"/>
    <w:rsid w:val="00D810CA"/>
    <w:rsid w:val="00D8187E"/>
    <w:rsid w:val="00D83614"/>
    <w:rsid w:val="00D83EDC"/>
    <w:rsid w:val="00D84407"/>
    <w:rsid w:val="00D84CC0"/>
    <w:rsid w:val="00D84CF2"/>
    <w:rsid w:val="00D85864"/>
    <w:rsid w:val="00D86F54"/>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000000"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000000"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000000"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000000"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000000" w:rsidRDefault="001A2EAD" w:rsidP="001A2EAD">
          <w:pPr>
            <w:pStyle w:val="6C23355DFC014B6395D009C87FB259C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85336C"/>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EAD"/>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7011DC58481F4FB180ED1AC113A8CEEB">
    <w:name w:val="7011DC58481F4FB180ED1AC113A8CEEB"/>
    <w:rsid w:val="001A2EAD"/>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61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3584</TotalTime>
  <Pages>152</Pages>
  <Words>47421</Words>
  <Characters>243275</Characters>
  <Application>Microsoft Office Word</Application>
  <DocSecurity>0</DocSecurity>
  <Lines>9731</Lines>
  <Paragraphs>4542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482</cp:revision>
  <cp:lastPrinted>2019-02-13T22:26:00Z</cp:lastPrinted>
  <dcterms:created xsi:type="dcterms:W3CDTF">2020-06-15T14:53:00Z</dcterms:created>
  <dcterms:modified xsi:type="dcterms:W3CDTF">2022-09-20T18:52:00Z</dcterms:modified>
</cp:coreProperties>
</file>