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CB740B"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CB740B"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16EB5A6A"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A376E">
        <w:rPr>
          <w:rFonts w:cs="Times New Roman"/>
          <w:bCs/>
          <w:noProof/>
          <w:color w:val="000099"/>
          <w:sz w:val="26"/>
          <w:szCs w:val="26"/>
        </w:rPr>
        <w:t>September 22,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CB740B">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CB740B">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CB740B">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CB740B">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CB740B">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CB740B">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CB740B">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CB740B">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CB740B">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CB740B">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CB740B">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CB740B">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CB740B">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CB740B">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CB740B">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CB740B">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CB740B">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CB740B">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CB740B">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CB740B">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CB740B">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CB740B">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CB740B">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CB740B">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CB740B">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CB740B">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CB740B">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CB740B">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CB740B">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CB740B">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CB740B">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CB740B">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CB740B">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CB740B">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CB740B">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CB740B">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CB740B">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CB740B">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CB740B">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CB740B">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CB740B">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CB740B">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CB740B">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CB740B">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CB740B">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CB740B">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CB740B">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CB740B">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CB740B">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CB740B">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CB740B">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CB740B">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CB740B">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CB740B">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CB740B">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CB740B">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CB740B">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CB740B">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CB740B">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CB740B">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CB740B">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CB740B">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CB740B">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CB740B">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CB740B">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CB740B">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CB740B">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CB740B">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CB740B">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CB740B">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CB740B">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CB740B">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CB740B">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CB740B">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CB740B">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CB740B">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CB740B">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CB740B">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CB740B">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CB740B">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CB740B">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CB740B">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CB740B">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CB740B">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CB740B">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CB740B">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CB740B">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CB740B">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CB740B">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CB740B">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CB740B">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CB740B">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CB740B">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CB740B">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CB740B">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CB740B">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CB740B">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CB740B">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CB740B">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CB740B">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CB740B">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CB740B">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CB740B">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CB740B">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CB740B">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CB740B">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CB740B">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CB740B"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CB740B"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CB740B"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CB740B"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CB740B"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CB740B"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CB740B"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CB740B"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CB740B"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CB740B"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CB740B"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CB740B"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CB740B"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CB740B"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CB740B"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CB740B"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CB740B"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CB740B"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CB740B"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EndPr/>
        <w:sdtContent>
          <w:proofErr w:type="spellStart"/>
          <w:r w:rsidR="006E3092" w:rsidRPr="00020852">
            <w:rPr>
              <w:rFonts w:cs="Times New Roman"/>
              <w:color w:val="C92C2C"/>
              <w:szCs w:val="24"/>
            </w:rPr>
            <w:t>yn_more_info_want_second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CB740B"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4E741082" w14:textId="77777777" w:rsidR="006E3092" w:rsidRPr="00020852" w:rsidRDefault="00CB740B"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EndPr/>
        <w:sdtContent>
          <w:proofErr w:type="spellStart"/>
          <w:r w:rsidR="006E3092" w:rsidRPr="00020852">
            <w:rPr>
              <w:rFonts w:cs="Times New Roman"/>
              <w:color w:val="C92C2C"/>
              <w:szCs w:val="24"/>
            </w:rPr>
            <w:t>yn_more_info_want_third</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CB740B"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CFC4B6B" w14:textId="77777777" w:rsidR="006E3092" w:rsidRPr="00020852" w:rsidRDefault="00CB740B"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EndPr/>
        <w:sdtContent>
          <w:proofErr w:type="spellStart"/>
          <w:r w:rsidR="006E3092" w:rsidRPr="00020852">
            <w:rPr>
              <w:rFonts w:cs="Times New Roman"/>
              <w:color w:val="C92C2C"/>
              <w:szCs w:val="24"/>
            </w:rPr>
            <w:t>yn_more_info_want_fourth</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End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CB740B"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CB740B"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2421434E" w14:textId="77777777" w:rsidR="006E3092" w:rsidRPr="00020852" w:rsidRDefault="00CB740B"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EndPr/>
        <w:sdtContent>
          <w:proofErr w:type="spellStart"/>
          <w:r w:rsidR="006E3092" w:rsidRPr="00020852">
            <w:rPr>
              <w:rFonts w:cs="Times New Roman"/>
              <w:color w:val="C92C2C"/>
              <w:szCs w:val="24"/>
            </w:rPr>
            <w:t>yn_need_more_info_from_client</w:t>
          </w:r>
          <w:proofErr w:type="spellEnd"/>
          <w:r w:rsidR="006E3092" w:rsidRPr="00020852">
            <w:rPr>
              <w:rFonts w:cs="Times New Roman"/>
              <w:color w:val="C92C2C"/>
              <w:szCs w:val="24"/>
            </w:rPr>
            <w:t xml:space="preserve"> </w:t>
          </w:r>
          <w:r w:rsidR="006E3092" w:rsidRPr="00020852">
            <w:rPr>
              <w:rFonts w:cs="Times New Roman"/>
              <w:color w:val="A67F59"/>
              <w:szCs w:val="24"/>
            </w:rPr>
            <w:t>!=</w:t>
          </w:r>
          <w:r w:rsidR="006E3092" w:rsidRPr="00020852">
            <w:rPr>
              <w:rFonts w:cs="Times New Roman"/>
              <w:color w:val="C92C2C"/>
              <w:szCs w:val="24"/>
            </w:rPr>
            <w:t xml:space="preserve"> </w:t>
          </w:r>
          <w:r w:rsidR="006E3092" w:rsidRPr="00020852">
            <w:rPr>
              <w:rFonts w:cs="Times New Roman"/>
              <w:color w:val="5F6364"/>
              <w:szCs w:val="24"/>
            </w:rPr>
            <w:t>"</w:t>
          </w:r>
          <w:r w:rsidR="006E3092" w:rsidRPr="00020852">
            <w:rPr>
              <w:rFonts w:cs="Times New Roman"/>
              <w:color w:val="2F9C0A"/>
              <w:szCs w:val="24"/>
            </w:rPr>
            <w:t>Yes</w:t>
          </w:r>
          <w:r w:rsidR="006E3092" w:rsidRPr="00020852">
            <w:rPr>
              <w:rFonts w:cs="Times New Roman"/>
              <w:color w:val="5F6364"/>
              <w:szCs w:val="24"/>
            </w:rPr>
            <w:t>"</w:t>
          </w:r>
          <w:r w:rsidR="006E3092"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CB740B"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EndPr>
          <w:rPr>
            <w:rStyle w:val="property1"/>
          </w:rPr>
        </w:sdtEndPr>
        <w:sdtContent>
          <w:r w:rsidR="006E3092"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CB740B"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CB740B"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CB740B"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CB740B"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CB740B"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CB740B"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CB740B"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CB740B"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CB740B"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CB740B"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CB740B"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CB740B"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CB740B"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CB740B"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CB740B"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CB740B"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CB740B"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CB740B"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CB740B"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CB740B"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15E854AD" w:rsidR="009762AF"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0D052E11" w14:textId="53E5BA3C" w:rsidR="00B3087F" w:rsidRDefault="00D87253" w:rsidP="00B3087F">
      <w:pPr>
        <w:spacing w:after="264"/>
        <w:ind w:left="1440" w:hanging="360"/>
        <w:rPr>
          <w:rFonts w:cs="Times New Roman"/>
          <w:bCs/>
          <w:szCs w:val="24"/>
        </w:rPr>
      </w:pPr>
      <w:sdt>
        <w:sdtPr>
          <w:rPr>
            <w:rFonts w:cs="Times New Roman"/>
            <w:color w:val="C92C2C"/>
            <w:szCs w:val="24"/>
          </w:rPr>
          <w:alias w:val="Show If"/>
          <w:tag w:val="FlowConditionShowIf"/>
          <w:id w:val="-369764847"/>
          <w:placeholder>
            <w:docPart w:val="9E8B0A2E84C0407D8F12278E5B14B547"/>
          </w:placeholder>
          <w15:color w:val="23D160"/>
          <w15:appearance w15:val="tags"/>
        </w:sdtPr>
        <w:sdtEndPr>
          <w:rPr>
            <w:color w:val="auto"/>
          </w:rPr>
        </w:sdtEndPr>
        <w:sdtContent>
          <w:proofErr w:type="spellStart"/>
          <w:r>
            <w:rPr>
              <w:rFonts w:cs="Times New Roman"/>
              <w:color w:val="C92C2C"/>
              <w:szCs w:val="24"/>
            </w:rPr>
            <w:t>yn</w:t>
          </w:r>
          <w:r>
            <w:rPr>
              <w:rFonts w:cs="Times New Roman"/>
              <w:color w:val="C92C2C"/>
              <w:szCs w:val="24"/>
            </w:rPr>
            <w:t>_</w:t>
          </w:r>
          <w:r>
            <w:rPr>
              <w:rFonts w:cs="Times New Roman"/>
              <w:color w:val="C92C2C"/>
              <w:szCs w:val="24"/>
            </w:rPr>
            <w:t>harm</w:t>
          </w:r>
          <w:r>
            <w:rPr>
              <w:rFonts w:cs="Times New Roman"/>
              <w:color w:val="C92C2C"/>
              <w:szCs w:val="24"/>
            </w:rPr>
            <w:t>_</w:t>
          </w:r>
          <w:r>
            <w:rPr>
              <w:rFonts w:cs="Times New Roman"/>
              <w:color w:val="C92C2C"/>
              <w:szCs w:val="24"/>
            </w:rPr>
            <w:t>credit_standing</w:t>
          </w:r>
          <w:proofErr w:type="spellEnd"/>
          <w:r w:rsidRPr="00E36359">
            <w:rPr>
              <w:rFonts w:cs="Times New Roman"/>
              <w:color w:val="C92C2C"/>
              <w:szCs w:val="24"/>
            </w:rPr>
            <w:t xml:space="preserve"> </w:t>
          </w:r>
          <w:r w:rsidRPr="00E36359">
            <w:rPr>
              <w:rFonts w:cs="Times New Roman"/>
              <w:color w:val="A67F59"/>
              <w:szCs w:val="24"/>
            </w:rPr>
            <w:t>==</w:t>
          </w:r>
          <w:r w:rsidRPr="00E36359">
            <w:rPr>
              <w:rFonts w:cs="Times New Roman"/>
              <w:color w:val="C92C2C"/>
              <w:szCs w:val="24"/>
            </w:rPr>
            <w:t xml:space="preserve"> </w:t>
          </w:r>
          <w:r w:rsidRPr="00E36359">
            <w:rPr>
              <w:rFonts w:cs="Times New Roman"/>
              <w:color w:val="5F6364"/>
              <w:szCs w:val="24"/>
            </w:rPr>
            <w:t>"</w:t>
          </w:r>
          <w:r>
            <w:rPr>
              <w:rFonts w:cs="Times New Roman"/>
              <w:color w:val="2F9C0A"/>
              <w:szCs w:val="24"/>
            </w:rPr>
            <w:t>Yes</w:t>
          </w:r>
          <w:r w:rsidRPr="00E36359">
            <w:rPr>
              <w:rFonts w:cs="Times New Roman"/>
              <w:color w:val="5F6364"/>
              <w:szCs w:val="24"/>
            </w:rPr>
            <w:t>"</w:t>
          </w:r>
          <w:r w:rsidRPr="00E36359">
            <w:rPr>
              <w:rFonts w:cs="Times New Roman"/>
              <w:color w:val="C92C2C"/>
              <w:szCs w:val="24"/>
            </w:rPr>
            <w:t xml:space="preserve"> </w:t>
          </w:r>
        </w:sdtContent>
      </w:sdt>
    </w:p>
    <w:p w14:paraId="28D5FC07" w14:textId="4F908C86" w:rsidR="00B3087F" w:rsidRDefault="00B3087F" w:rsidP="006A5C34">
      <w:pPr>
        <w:spacing w:after="264"/>
        <w:ind w:left="1080" w:hanging="360"/>
        <w:rPr>
          <w:rFonts w:cs="Times New Roman"/>
          <w:bCs/>
          <w:szCs w:val="24"/>
        </w:rPr>
      </w:pPr>
      <w:r w:rsidRPr="00020852">
        <w:rPr>
          <w:rFonts w:cs="Times New Roman"/>
          <w:bCs/>
          <w:szCs w:val="24"/>
        </w:rPr>
        <w:t xml:space="preserve">—  </w:t>
      </w:r>
      <w:r>
        <w:rPr>
          <w:rFonts w:cs="Times New Roman"/>
          <w:bCs/>
          <w:szCs w:val="24"/>
        </w:rPr>
        <w:t xml:space="preserve">As a form of special damages, damages related to harm to one’s credit standing (or loss of credit reputation) may apply in a variety of claims involving compensatory damages as a remedy (e.g., malicious prosecution, breach of contract, negligence, breach of equitable servitudes, etc.). (Code Civ. Proc., § 3333 [“For the breach of an obligation not arising from contract, the measure of damages, except where otherwise expressly provided by this Code, is the amount which will compensate for all the detriment proximately caused. . . .”]; </w:t>
      </w:r>
      <w:proofErr w:type="spellStart"/>
      <w:r>
        <w:rPr>
          <w:rFonts w:cs="Times New Roman"/>
          <w:bCs/>
          <w:i/>
          <w:iCs/>
          <w:szCs w:val="24"/>
        </w:rPr>
        <w:t>Bertero</w:t>
      </w:r>
      <w:proofErr w:type="spellEnd"/>
      <w:r>
        <w:rPr>
          <w:rFonts w:cs="Times New Roman"/>
          <w:bCs/>
          <w:i/>
          <w:iCs/>
          <w:szCs w:val="24"/>
        </w:rPr>
        <w:t xml:space="preserve"> v. National Gen. Corp.</w:t>
      </w:r>
      <w:r>
        <w:rPr>
          <w:rFonts w:cs="Times New Roman"/>
          <w:bCs/>
          <w:szCs w:val="24"/>
        </w:rPr>
        <w:t xml:space="preserve"> (1974 13 Cal.3d 43, 59; </w:t>
      </w:r>
      <w:proofErr w:type="spellStart"/>
      <w:r>
        <w:rPr>
          <w:rFonts w:cs="Times New Roman"/>
          <w:bCs/>
          <w:i/>
          <w:iCs/>
          <w:szCs w:val="24"/>
        </w:rPr>
        <w:t>Sagonowsky</w:t>
      </w:r>
      <w:proofErr w:type="spellEnd"/>
      <w:r>
        <w:rPr>
          <w:rFonts w:cs="Times New Roman"/>
          <w:bCs/>
          <w:i/>
          <w:iCs/>
          <w:szCs w:val="24"/>
        </w:rPr>
        <w:t xml:space="preserve"> v. More</w:t>
      </w:r>
      <w:r>
        <w:rPr>
          <w:rFonts w:cs="Times New Roman"/>
          <w:bCs/>
          <w:szCs w:val="24"/>
        </w:rPr>
        <w:t xml:space="preserve"> (1998) 64 Cal.App.4th 122, 132.) Where applicable, such damages can significantly increase Client’s damage demand.</w:t>
      </w:r>
    </w:p>
    <w:p w14:paraId="776BDF6C" w14:textId="53DA4B0C" w:rsidR="00B5162E" w:rsidRDefault="00B5162E" w:rsidP="00B5162E">
      <w:pPr>
        <w:spacing w:after="264"/>
        <w:ind w:left="1350" w:hanging="270"/>
        <w:rPr>
          <w:rFonts w:cs="Times New Roman"/>
          <w:bCs/>
          <w:szCs w:val="24"/>
        </w:rPr>
      </w:pPr>
      <w:r w:rsidRPr="00020852">
        <w:rPr>
          <w:rFonts w:cs="Times New Roman"/>
          <w:bCs/>
          <w:szCs w:val="24"/>
        </w:rPr>
        <w:t xml:space="preserve">•   </w:t>
      </w:r>
      <w:r>
        <w:rPr>
          <w:rFonts w:cs="Times New Roman"/>
          <w:bCs/>
          <w:szCs w:val="24"/>
        </w:rPr>
        <w:t>Credit damage and loss of credit reputation can occur when misconduct by a third party results in negative information appearing on a credit report, and subsequently resulting in an individual or business suffering (i) out-of-pocket costs, (ii) loss of access to credit previously available (including loss of credit capacity/expectancy—e.g., inability to obtain any new credit, or credit at the same interest rate, (iii) loss of security clearance, or (iv) job loss/employment denial.</w:t>
      </w:r>
    </w:p>
    <w:p w14:paraId="468D55F6" w14:textId="578062CC" w:rsidR="00B5162E" w:rsidRDefault="00B5162E" w:rsidP="00B5162E">
      <w:pPr>
        <w:spacing w:after="264"/>
        <w:ind w:left="1350" w:hanging="270"/>
        <w:rPr>
          <w:rFonts w:cs="Times New Roman"/>
          <w:bCs/>
          <w:szCs w:val="24"/>
        </w:rPr>
      </w:pPr>
      <w:r w:rsidRPr="00020852">
        <w:rPr>
          <w:rFonts w:cs="Times New Roman"/>
          <w:bCs/>
          <w:szCs w:val="24"/>
        </w:rPr>
        <w:t xml:space="preserve">•   </w:t>
      </w:r>
      <w:r>
        <w:rPr>
          <w:rFonts w:cs="Times New Roman"/>
          <w:bCs/>
          <w:szCs w:val="24"/>
        </w:rPr>
        <w:t>Examples of damages available under this legal theory include the difference between a lower and higher interest rate over the life of a loan/credit (e.g., would’ve been qualified for a loan at 5% but for a negative item on credit that raised the rate to 10%—damages would be the difference), or even the loss of credit (e.g., person had a company credit card with $20,000 limit, and while in the process of buyout, partner maxed card on personal items and then refused to pay bill, thus causing loss of the card and damage to credit; damage was $20,000).</w:t>
      </w:r>
    </w:p>
    <w:p w14:paraId="313EF456" w14:textId="6B2165B0" w:rsidR="00B5162E" w:rsidRDefault="00B5162E" w:rsidP="00B5162E">
      <w:pPr>
        <w:spacing w:after="264"/>
        <w:ind w:left="1350" w:hanging="270"/>
        <w:rPr>
          <w:rFonts w:cs="Times New Roman"/>
          <w:bCs/>
          <w:szCs w:val="24"/>
        </w:rPr>
      </w:pPr>
      <w:r w:rsidRPr="00020852">
        <w:rPr>
          <w:rFonts w:cs="Times New Roman"/>
          <w:bCs/>
          <w:szCs w:val="24"/>
        </w:rPr>
        <w:lastRenderedPageBreak/>
        <w:t xml:space="preserve">•   </w:t>
      </w:r>
      <w:r>
        <w:rPr>
          <w:rFonts w:cs="Times New Roman"/>
          <w:bCs/>
          <w:szCs w:val="24"/>
        </w:rPr>
        <w:t xml:space="preserve">Credit reports from the three major credit report agencies (Experian, Equifax, and Transunion) are </w:t>
      </w:r>
      <w:r>
        <w:rPr>
          <w:rFonts w:cs="Times New Roman"/>
          <w:bCs/>
          <w:i/>
          <w:iCs/>
          <w:szCs w:val="24"/>
        </w:rPr>
        <w:t>not</w:t>
      </w:r>
      <w:r>
        <w:rPr>
          <w:rFonts w:cs="Times New Roman"/>
          <w:bCs/>
          <w:szCs w:val="24"/>
        </w:rPr>
        <w:t xml:space="preserve"> admissible in court for credit damage evaluation purposes. Only the “tri-merged” subscriber report is admissible.</w:t>
      </w:r>
    </w:p>
    <w:p w14:paraId="05945B29" w14:textId="7536A00E" w:rsidR="00B5162E" w:rsidRDefault="00B5162E" w:rsidP="00B5162E">
      <w:pPr>
        <w:spacing w:after="264"/>
        <w:ind w:left="1350" w:hanging="270"/>
        <w:rPr>
          <w:rFonts w:cs="Times New Roman"/>
          <w:bCs/>
          <w:szCs w:val="24"/>
        </w:rPr>
      </w:pPr>
      <w:r w:rsidRPr="00020852">
        <w:rPr>
          <w:rFonts w:cs="Times New Roman"/>
          <w:bCs/>
          <w:szCs w:val="24"/>
        </w:rPr>
        <w:t xml:space="preserve">•   </w:t>
      </w:r>
      <w:r>
        <w:rPr>
          <w:rFonts w:cs="Times New Roman"/>
          <w:bCs/>
          <w:i/>
          <w:iCs/>
          <w:szCs w:val="24"/>
        </w:rPr>
        <w:t xml:space="preserve">If Client intends to seek damages under this legal theory, expert testimony might be necessary. The preeminent expert in this field, Georg Finder, is located in Orange County, and is a California Credit Damage Evaluator with two decades of expert experience. He can be found at </w:t>
      </w:r>
      <w:r w:rsidRPr="005119D7">
        <w:rPr>
          <w:rFonts w:cs="Times New Roman"/>
          <w:bCs/>
          <w:i/>
          <w:iCs/>
          <w:szCs w:val="24"/>
        </w:rPr>
        <w:t>www.creditdamageexpert.com</w:t>
      </w:r>
      <w:r>
        <w:rPr>
          <w:rFonts w:cs="Times New Roman"/>
          <w:bCs/>
          <w:i/>
          <w:iCs/>
          <w:szCs w:val="24"/>
        </w:rPr>
        <w:t>.</w:t>
      </w:r>
    </w:p>
    <w:p w14:paraId="214D60A5" w14:textId="607BAA32" w:rsidR="00B5162E" w:rsidRPr="00020852" w:rsidRDefault="00B5162E" w:rsidP="00B5162E">
      <w:pPr>
        <w:spacing w:after="264"/>
        <w:ind w:left="1440" w:hanging="360"/>
        <w:rPr>
          <w:rFonts w:cs="Times New Roman"/>
          <w:bCs/>
          <w:szCs w:val="24"/>
        </w:rPr>
      </w:pPr>
      <w:sdt>
        <w:sdtPr>
          <w:rPr>
            <w:rStyle w:val="property1"/>
            <w:rFonts w:eastAsia="Times New Roman" w:cs="Times New Roman"/>
            <w:szCs w:val="24"/>
          </w:rPr>
          <w:alias w:val="End If"/>
          <w:tag w:val="FlowConditionEndIf"/>
          <w:id w:val="1627576920"/>
          <w:placeholder>
            <w:docPart w:val="9651CDE18CD74BD3B6FC4E3032D8035D"/>
          </w:placeholder>
          <w15:color w:val="23D160"/>
          <w15:appearance w15:val="tags"/>
        </w:sdtPr>
        <w:sdtContent>
          <w:r w:rsidRPr="007F3488">
            <w:rPr>
              <w:rFonts w:eastAsia="Times New Roman" w:cs="Times New Roman"/>
              <w:color w:val="CCCCCC"/>
              <w:szCs w:val="24"/>
            </w:rPr>
            <w:t>###</w:t>
          </w:r>
        </w:sdtContent>
      </w:sdt>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CB740B"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CB740B"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w:t>
      </w:r>
      <w:r w:rsidRPr="00020852">
        <w:rPr>
          <w:rFonts w:cs="Times New Roman"/>
          <w:bCs/>
          <w:szCs w:val="24"/>
        </w:rPr>
        <w:lastRenderedPageBreak/>
        <w:t>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CB740B"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CB740B"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CB740B"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CB740B"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CB740B"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CB740B"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lastRenderedPageBreak/>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 xml:space="preserve">Nuisance is based on a property’s owner’s use of his or her own property in a way that adversely affects other property owners. Typical examples of a nuisance include things like </w:t>
      </w:r>
      <w:r w:rsidR="00E36CC9" w:rsidRPr="00D51AB5">
        <w:rPr>
          <w:rFonts w:cs="Times New Roman"/>
          <w:szCs w:val="24"/>
        </w:rPr>
        <w:lastRenderedPageBreak/>
        <w:t>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CB740B"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CB740B"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lastRenderedPageBreak/>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CB740B"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w:t>
      </w:r>
      <w:r w:rsidRPr="000F2A6B">
        <w:rPr>
          <w:rFonts w:cs="Times New Roman"/>
          <w:bCs/>
          <w:szCs w:val="24"/>
        </w:rPr>
        <w:lastRenderedPageBreak/>
        <w:t>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CB740B"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CB740B"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CB740B"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CB740B"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CB740B"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w:t>
      </w:r>
      <w:r w:rsidRPr="00020852">
        <w:rPr>
          <w:rFonts w:cs="Times New Roman"/>
          <w:bCs/>
          <w:szCs w:val="24"/>
        </w:rPr>
        <w:lastRenderedPageBreak/>
        <w:t>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lastRenderedPageBreak/>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CB740B"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CB740B"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w:t>
      </w:r>
      <w:r w:rsidRPr="00020852">
        <w:rPr>
          <w:rFonts w:cs="Times New Roman"/>
          <w:bCs/>
          <w:szCs w:val="24"/>
        </w:rPr>
        <w:lastRenderedPageBreak/>
        <w:t xml:space="preserve">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xml:space="preserve">—  While the standard to determine the reasonableness of the reliance is subjective (i.e., the “reasonable person” standard doesn’t typically apply, and thus being gullible is often not a bar to establishing </w:t>
      </w:r>
      <w:r w:rsidRPr="00020852">
        <w:rPr>
          <w:rFonts w:cs="Times New Roman"/>
          <w:bCs/>
          <w:szCs w:val="24"/>
        </w:rPr>
        <w:lastRenderedPageBreak/>
        <w:t>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CB740B"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CB740B"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CB740B"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CB740B"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w:t>
      </w:r>
      <w:r w:rsidRPr="00020852">
        <w:rPr>
          <w:rFonts w:cs="Times New Roman"/>
          <w:bCs/>
          <w:szCs w:val="24"/>
        </w:rPr>
        <w:lastRenderedPageBreak/>
        <w:t>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CB740B"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CB740B"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CB740B"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CB740B"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CB740B"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CB740B"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xml:space="preserve">—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w:t>
      </w:r>
      <w:r w:rsidRPr="00020852">
        <w:rPr>
          <w:rFonts w:cs="Times New Roman"/>
          <w:bCs/>
          <w:szCs w:val="24"/>
        </w:rPr>
        <w:lastRenderedPageBreak/>
        <w:t>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CB740B"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CB740B"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CB740B"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CB740B"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CB740B"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CB740B"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CB740B"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CB740B"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CB740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CB740B"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lastRenderedPageBreak/>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CB740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CB740B"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CB740B"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w:t>
      </w:r>
      <w:r w:rsidRPr="00020852">
        <w:rPr>
          <w:rFonts w:cs="Times New Roman"/>
          <w:bCs/>
          <w:szCs w:val="24"/>
        </w:rPr>
        <w:lastRenderedPageBreak/>
        <w:t>the totality of the circumstances to determine whether the defendant reasonably caused the plaintiff substantial fear, anxiety, or emotional torment.” (Civ. Code, § 1708.7(b)(7).)</w:t>
      </w:r>
    </w:p>
    <w:p w14:paraId="726F6E1F" w14:textId="29AF3991" w:rsidR="00510B87" w:rsidRPr="00020852" w:rsidRDefault="00CB740B"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CB740B"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CB740B"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CB740B"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CB740B"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CB740B"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CB740B"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xml:space="preserve">—  Compensatory (money) damages are available and may include any or all of the following: (i) loss of time; (ii) business interruption; (iii) damage to reputation; (iv) emotional distress, including physical </w:t>
      </w:r>
      <w:r w:rsidRPr="00020852">
        <w:rPr>
          <w:rFonts w:cs="Times New Roman"/>
          <w:bCs/>
          <w:szCs w:val="24"/>
        </w:rPr>
        <w:lastRenderedPageBreak/>
        <w:t>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CB740B"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CB740B"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CB740B"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CB740B"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lastRenderedPageBreak/>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CB740B"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CB740B"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CB74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CB740B"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CB74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CB740B"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lastRenderedPageBreak/>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CB740B"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CB740B"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CB740B"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CB740B"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t>Remedies</w:t>
      </w:r>
      <w:r>
        <w:t>—</w:t>
      </w:r>
    </w:p>
    <w:p w14:paraId="102F325D" w14:textId="62A76B30" w:rsidR="00265AF8" w:rsidRDefault="00265AF8" w:rsidP="00D93A31">
      <w:pPr>
        <w:spacing w:after="264"/>
        <w:ind w:left="1080" w:hanging="360"/>
      </w:pPr>
      <w:r>
        <w:lastRenderedPageBreak/>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CB74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CB740B"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CB740B"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CB740B"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CB740B"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CB740B"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CB740B"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CB740B"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CB740B"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CB740B"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CB740B"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CB740B"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CB740B"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CB740B"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CB740B"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CB740B"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CB740B"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CB740B"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CB740B"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CB740B"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CB740B"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CB740B"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CB740B"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CB740B"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CB740B"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CB740B"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CB740B"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CB740B"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CB740B"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CB740B"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CB740B"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CB740B"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CB740B"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CB740B"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CB740B"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CB740B"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CB740B"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CB740B"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CB740B"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CB740B"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CB740B"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CB740B"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CB740B"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CB740B"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CB740B"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CB740B"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CB740B"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CB740B"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CB740B"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CB74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CB740B"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CB740B"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CB740B"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CB74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CB740B"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CB740B"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CB740B"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CB740B"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CB740B"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CB74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CB740B"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CB74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CB740B"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CB740B"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CB740B"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CB740B"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CB740B"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CB740B"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CB740B"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CB740B"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CB740B"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CB74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CB740B"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CB740B"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CB740B"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CB740B"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CB740B"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CB740B"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CB740B"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CB740B"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CB740B"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CB74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CB74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CB74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CB740B"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CB740B"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CB740B"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CB740B"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CB740B"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CB74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CB740B"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CB74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CB740B"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CB740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CB740B"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CB740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CB740B"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CB740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CB740B"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CB74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CB740B"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CB74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CB740B"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CB740B"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CB740B"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CB74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CB740B"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CB74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CB740B"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CB740B"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CB740B"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CB740B"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CB740B"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CB740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CB740B"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CB740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CB740B"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CB740B"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CB740B"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CB740B"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CB740B"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CB740B"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CB74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CB74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CB74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CB74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CB74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CB74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CB74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CB74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CB74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CB740B"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CB740B"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CB740B"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CB740B"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CB740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CB740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CB740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CB740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CB740B"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CB740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CB740B"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CB740B"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CB740B"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CB740B"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CB740B"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CB740B"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CB740B"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CB740B"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CB740B"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CB740B"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CB740B"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CB740B"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CB740B"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CB740B"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CB740B"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CB740B"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CB740B"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CB740B"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CB740B"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CB740B"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CB740B"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CB740B"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CB740B"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CB740B"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CB740B"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CB740B"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CB740B"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CB740B"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CB740B"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CB740B"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CB740B"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CB74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CB740B"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CB74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CB740B"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CB740B"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CB740B"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CB74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CB740B"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CB740B"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CB740B"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CB74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CB740B"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CB740B"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CB740B"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CB740B"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CB740B"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CB740B"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lastRenderedPageBreak/>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CB740B"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CB740B"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CB740B"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CB740B"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lastRenderedPageBreak/>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CB740B"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CB740B"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CB740B"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 xml:space="preserve">Midland Pacific </w:t>
      </w:r>
      <w:r w:rsidRPr="009361A3">
        <w:rPr>
          <w:rFonts w:cs="Times New Roman"/>
          <w:i/>
          <w:iCs/>
          <w:szCs w:val="24"/>
        </w:rPr>
        <w:lastRenderedPageBreak/>
        <w:t>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CB740B"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CB740B"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lastRenderedPageBreak/>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CB740B"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CB740B"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CB740B"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CB740B"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CB740B"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CB740B"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CB740B"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CB740B"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CB740B"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CB740B"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CB740B"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CB740B"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CB740B"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CB740B"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CB740B"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CB740B"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CB740B"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CB740B"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CB740B"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CB740B"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CB740B"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CB740B"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CB740B"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CB740B"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CB740B"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CB740B"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CB740B"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CB740B"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CB740B"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CB740B"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CB740B"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CB740B"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CB740B"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CB740B"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CB740B"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CB740B"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CB740B"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CB740B"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3FD0" w14:textId="77777777" w:rsidR="007F50BA" w:rsidRDefault="007F50BA" w:rsidP="007B1C23">
      <w:pPr>
        <w:spacing w:after="264"/>
      </w:pPr>
      <w:r>
        <w:separator/>
      </w:r>
    </w:p>
    <w:p w14:paraId="212CCAE2" w14:textId="77777777" w:rsidR="007F50BA" w:rsidRDefault="007F50BA">
      <w:pPr>
        <w:spacing w:after="264"/>
      </w:pPr>
    </w:p>
  </w:endnote>
  <w:endnote w:type="continuationSeparator" w:id="0">
    <w:p w14:paraId="392517D3" w14:textId="77777777" w:rsidR="007F50BA" w:rsidRDefault="007F50BA" w:rsidP="007B1C23">
      <w:pPr>
        <w:spacing w:after="264"/>
      </w:pPr>
      <w:r>
        <w:continuationSeparator/>
      </w:r>
    </w:p>
    <w:p w14:paraId="5F0FCDB8" w14:textId="77777777" w:rsidR="007F50BA" w:rsidRDefault="007F50BA">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CB740B"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9187" w14:textId="77777777" w:rsidR="007F50BA" w:rsidRDefault="007F50BA" w:rsidP="007B1C23">
      <w:pPr>
        <w:spacing w:after="264"/>
      </w:pPr>
      <w:r>
        <w:separator/>
      </w:r>
    </w:p>
    <w:p w14:paraId="52D6BBD0" w14:textId="77777777" w:rsidR="007F50BA" w:rsidRDefault="007F50BA">
      <w:pPr>
        <w:spacing w:after="264"/>
      </w:pPr>
    </w:p>
  </w:footnote>
  <w:footnote w:type="continuationSeparator" w:id="0">
    <w:p w14:paraId="1AED202E" w14:textId="77777777" w:rsidR="007F50BA" w:rsidRDefault="007F50BA" w:rsidP="007B1C23">
      <w:pPr>
        <w:spacing w:after="264"/>
      </w:pPr>
      <w:r>
        <w:continuationSeparator/>
      </w:r>
    </w:p>
    <w:p w14:paraId="15F83498" w14:textId="77777777" w:rsidR="007F50BA" w:rsidRDefault="007F50BA">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proofErr w:type="spellStart"/>
      <w:r>
        <w:rPr>
          <w:rFonts w:cs="Times New Roman"/>
          <w:i/>
          <w:iCs/>
          <w:sz w:val="18"/>
          <w:szCs w:val="18"/>
        </w:rPr>
        <w:t>Fifeld</w:t>
      </w:r>
      <w:proofErr w:type="spellEnd"/>
      <w:r>
        <w:rPr>
          <w:rFonts w:cs="Times New Roman"/>
          <w:i/>
          <w:iCs/>
          <w:sz w:val="18"/>
          <w:szCs w:val="18"/>
        </w:rPr>
        <w:t xml:space="preserve"> Manor</w:t>
      </w:r>
      <w:r>
        <w:rPr>
          <w:rFonts w:cs="Times New Roman"/>
          <w:sz w:val="18"/>
          <w:szCs w:val="18"/>
        </w:rPr>
        <w:t xml:space="preserve"> case, it remains “good” law. (</w:t>
      </w:r>
      <w:proofErr w:type="spellStart"/>
      <w:r>
        <w:rPr>
          <w:rFonts w:cs="Times New Roman"/>
          <w:i/>
          <w:iCs/>
          <w:sz w:val="18"/>
          <w:szCs w:val="18"/>
        </w:rPr>
        <w:t>LiMandri</w:t>
      </w:r>
      <w:proofErr w:type="spellEnd"/>
      <w:r>
        <w:rPr>
          <w:rFonts w:cs="Times New Roman"/>
          <w:i/>
          <w:iCs/>
          <w:sz w:val="18"/>
          <w:szCs w:val="18"/>
        </w:rPr>
        <w:t xml:space="preserve">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6E"/>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275E"/>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50BA"/>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087F"/>
    <w:rsid w:val="00B34556"/>
    <w:rsid w:val="00B41E3F"/>
    <w:rsid w:val="00B41EE7"/>
    <w:rsid w:val="00B42150"/>
    <w:rsid w:val="00B43B8C"/>
    <w:rsid w:val="00B45135"/>
    <w:rsid w:val="00B45DCF"/>
    <w:rsid w:val="00B478E4"/>
    <w:rsid w:val="00B50689"/>
    <w:rsid w:val="00B5162E"/>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B740B"/>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253"/>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0EEA"/>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677A55"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677A55"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677A55"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677A55"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677A55"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677A55"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677A55"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677A55"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677A55"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677A55"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677A55" w:rsidRDefault="00997387" w:rsidP="00997387">
          <w:pPr>
            <w:pStyle w:val="116A6BC3A0BE4695915FF9A0ED22AB09"/>
          </w:pPr>
          <w:r w:rsidRPr="00F722FF">
            <w:rPr>
              <w:rStyle w:val="PlaceholderText"/>
            </w:rPr>
            <w:t>Click or tap here to enter text.</w:t>
          </w:r>
        </w:p>
      </w:docPartBody>
    </w:docPart>
    <w:docPart>
      <w:docPartPr>
        <w:name w:val="9E8B0A2E84C0407D8F12278E5B14B547"/>
        <w:category>
          <w:name w:val="General"/>
          <w:gallery w:val="placeholder"/>
        </w:category>
        <w:types>
          <w:type w:val="bbPlcHdr"/>
        </w:types>
        <w:behaviors>
          <w:behavior w:val="content"/>
        </w:behaviors>
        <w:guid w:val="{FB1575FD-36CF-4B22-A126-4D88B59EB06A}"/>
      </w:docPartPr>
      <w:docPartBody>
        <w:p w:rsidR="00000000" w:rsidRDefault="00677A55" w:rsidP="00677A55">
          <w:pPr>
            <w:pStyle w:val="9E8B0A2E84C0407D8F12278E5B14B547"/>
          </w:pPr>
          <w:r w:rsidRPr="00404A3B">
            <w:rPr>
              <w:rStyle w:val="PlaceholderText"/>
            </w:rPr>
            <w:t>Click or tap here to enter text.</w:t>
          </w:r>
        </w:p>
      </w:docPartBody>
    </w:docPart>
    <w:docPart>
      <w:docPartPr>
        <w:name w:val="9651CDE18CD74BD3B6FC4E3032D8035D"/>
        <w:category>
          <w:name w:val="General"/>
          <w:gallery w:val="placeholder"/>
        </w:category>
        <w:types>
          <w:type w:val="bbPlcHdr"/>
        </w:types>
        <w:behaviors>
          <w:behavior w:val="content"/>
        </w:behaviors>
        <w:guid w:val="{B9AD690E-ACA4-485E-8708-8C54B90487A2}"/>
      </w:docPartPr>
      <w:docPartBody>
        <w:p w:rsidR="00000000" w:rsidRDefault="00677A55" w:rsidP="00677A55">
          <w:pPr>
            <w:pStyle w:val="9651CDE18CD74BD3B6FC4E3032D8035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9499C"/>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77A55"/>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A55"/>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9E8B0A2E84C0407D8F12278E5B14B547">
    <w:name w:val="9E8B0A2E84C0407D8F12278E5B14B547"/>
    <w:rsid w:val="00677A55"/>
  </w:style>
  <w:style w:type="paragraph" w:customStyle="1" w:styleId="9651CDE18CD74BD3B6FC4E3032D8035D">
    <w:name w:val="9651CDE18CD74BD3B6FC4E3032D8035D"/>
    <w:rsid w:val="00677A55"/>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811"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Has Client suffered any damage to Client’s credit standing/rating as a result of the wrongs alleged?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3667</TotalTime>
  <Pages>150</Pages>
  <Words>42698</Words>
  <Characters>243381</Characters>
  <Application>Microsoft Office Word</Application>
  <DocSecurity>0</DocSecurity>
  <Lines>2028</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494</cp:revision>
  <cp:lastPrinted>2019-02-13T22:26:00Z</cp:lastPrinted>
  <dcterms:created xsi:type="dcterms:W3CDTF">2020-06-15T14:53:00Z</dcterms:created>
  <dcterms:modified xsi:type="dcterms:W3CDTF">2022-09-22T14:21:00Z</dcterms:modified>
</cp:coreProperties>
</file>